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Boundary-Setting Practice Worksheet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>
              <w:t>Situation</w:t>
            </w:r>
          </w:p>
        </w:tc>
      </w:tr>
      <w:tr>
        <w:tc>
          <w:tcPr>
            <w:tcW w:type="dxa" w:w="8640"/>
          </w:tcPr>
          <w:p>
            <w:r>
              <w:t>Boundary statement</w:t>
            </w:r>
          </w:p>
        </w:tc>
      </w:tr>
      <w:tr>
        <w:tc>
          <w:tcPr>
            <w:tcW w:type="dxa" w:w="8640"/>
          </w:tcPr>
          <w:p>
            <w:r>
              <w:t>Feelings that come up</w:t>
            </w:r>
          </w:p>
        </w:tc>
      </w:tr>
      <w:tr>
        <w:tc>
          <w:tcPr>
            <w:tcW w:type="dxa" w:w="8640"/>
          </w:tcPr>
          <w:p>
            <w:r>
              <w:t>How I can support myself afterwards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